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2E537" w14:textId="77777777" w:rsidR="001C1EA3" w:rsidRPr="00DB0F86" w:rsidRDefault="008354A4">
      <w:pPr>
        <w:rPr>
          <w:b/>
        </w:rPr>
      </w:pPr>
      <w:r w:rsidRPr="00DB0F86">
        <w:rPr>
          <w:b/>
        </w:rPr>
        <w:t xml:space="preserve">Health Care Consent, Pandemic-Style: </w:t>
      </w:r>
    </w:p>
    <w:p w14:paraId="3BD073E7" w14:textId="77777777" w:rsidR="00AC300F" w:rsidRPr="00DB0F86" w:rsidRDefault="008354A4">
      <w:pPr>
        <w:rPr>
          <w:b/>
        </w:rPr>
      </w:pPr>
      <w:r w:rsidRPr="00DB0F86">
        <w:rPr>
          <w:b/>
        </w:rPr>
        <w:t>Key Aspects of Health Care Decision-making Law in BC</w:t>
      </w:r>
    </w:p>
    <w:p w14:paraId="46FB47C0" w14:textId="77777777" w:rsidR="008354A4" w:rsidRPr="00DB0F86" w:rsidRDefault="008354A4"/>
    <w:p w14:paraId="30FC5AA1" w14:textId="77777777" w:rsidR="003006B6" w:rsidRDefault="00DB0F86">
      <w:pPr>
        <w:rPr>
          <w:rFonts w:eastAsia="Times New Roman" w:cstheme="minorHAnsi"/>
        </w:rPr>
      </w:pPr>
      <w:r w:rsidRPr="00DB0F86">
        <w:rPr>
          <w:rFonts w:cstheme="minorHAnsi"/>
        </w:rPr>
        <w:t xml:space="preserve">Health care treatment decisions are some of the most </w:t>
      </w:r>
      <w:r w:rsidR="00D349EC">
        <w:rPr>
          <w:rFonts w:cstheme="minorHAnsi"/>
        </w:rPr>
        <w:t>difficult</w:t>
      </w:r>
      <w:r w:rsidRPr="00DB0F86">
        <w:rPr>
          <w:rFonts w:cstheme="minorHAnsi"/>
        </w:rPr>
        <w:t xml:space="preserve"> and deeply personal </w:t>
      </w:r>
      <w:r w:rsidR="00D349EC">
        <w:rPr>
          <w:rFonts w:cstheme="minorHAnsi"/>
        </w:rPr>
        <w:t xml:space="preserve">life </w:t>
      </w:r>
      <w:r w:rsidRPr="00DB0F86">
        <w:rPr>
          <w:rFonts w:cstheme="minorHAnsi"/>
        </w:rPr>
        <w:t xml:space="preserve">decisions. </w:t>
      </w:r>
      <w:r w:rsidR="00D349EC">
        <w:rPr>
          <w:rFonts w:eastAsia="Times New Roman" w:cstheme="minorHAnsi"/>
        </w:rPr>
        <w:t xml:space="preserve">They </w:t>
      </w:r>
      <w:r w:rsidRPr="00DB0F86">
        <w:rPr>
          <w:rFonts w:eastAsia="Times New Roman" w:cstheme="minorHAnsi"/>
        </w:rPr>
        <w:t xml:space="preserve">engage fundamental </w:t>
      </w:r>
      <w:r w:rsidR="00477FA7">
        <w:rPr>
          <w:rFonts w:eastAsia="Times New Roman" w:cstheme="minorHAnsi"/>
        </w:rPr>
        <w:t>questions about how we want to live</w:t>
      </w:r>
      <w:r w:rsidR="00473A1C">
        <w:rPr>
          <w:rFonts w:eastAsia="Times New Roman" w:cstheme="minorHAnsi"/>
        </w:rPr>
        <w:t xml:space="preserve"> and die</w:t>
      </w:r>
      <w:r w:rsidR="00FB11D1">
        <w:rPr>
          <w:rFonts w:eastAsia="Times New Roman" w:cstheme="minorHAnsi"/>
        </w:rPr>
        <w:t>,</w:t>
      </w:r>
      <w:r w:rsidR="00D349EC">
        <w:rPr>
          <w:rFonts w:eastAsia="Times New Roman" w:cstheme="minorHAnsi"/>
        </w:rPr>
        <w:t xml:space="preserve"> and impact </w:t>
      </w:r>
      <w:r w:rsidR="00477FA7">
        <w:rPr>
          <w:rFonts w:eastAsia="Times New Roman" w:cstheme="minorHAnsi"/>
        </w:rPr>
        <w:t xml:space="preserve">our </w:t>
      </w:r>
      <w:r w:rsidRPr="00DB0F86">
        <w:rPr>
          <w:rFonts w:eastAsia="Times New Roman" w:cstheme="minorHAnsi"/>
        </w:rPr>
        <w:t xml:space="preserve">bodily integrity. </w:t>
      </w:r>
    </w:p>
    <w:p w14:paraId="5C2DB013" w14:textId="77777777" w:rsidR="003006B6" w:rsidRDefault="003006B6">
      <w:pPr>
        <w:rPr>
          <w:rFonts w:eastAsia="Times New Roman" w:cstheme="minorHAnsi"/>
        </w:rPr>
      </w:pPr>
    </w:p>
    <w:p w14:paraId="5FC89DB8" w14:textId="77777777" w:rsidR="00FB11D1" w:rsidRDefault="00DB0F86">
      <w:r>
        <w:rPr>
          <w:rFonts w:eastAsia="Times New Roman" w:cstheme="minorHAnsi"/>
        </w:rPr>
        <w:t xml:space="preserve">As a result, the </w:t>
      </w:r>
      <w:r w:rsidR="001A4220" w:rsidRPr="00DB0F86">
        <w:t xml:space="preserve">right to </w:t>
      </w:r>
      <w:r w:rsidR="008354A4" w:rsidRPr="00DB0F86">
        <w:t xml:space="preserve">make </w:t>
      </w:r>
      <w:r w:rsidR="004F1BBB" w:rsidRPr="00DB0F86">
        <w:t xml:space="preserve">our own </w:t>
      </w:r>
      <w:r w:rsidR="008354A4" w:rsidRPr="00DB0F86">
        <w:t xml:space="preserve">health care decisions is protected </w:t>
      </w:r>
      <w:r w:rsidR="00FB11D1">
        <w:t>by</w:t>
      </w:r>
      <w:r w:rsidR="003006B6">
        <w:t xml:space="preserve"> multiple levels of legislation. The Supreme Court of Canada has determined tha</w:t>
      </w:r>
      <w:r w:rsidR="00D349EC">
        <w:t>t th</w:t>
      </w:r>
      <w:r w:rsidR="004F1BBB" w:rsidRPr="00DB0F86">
        <w:t>e</w:t>
      </w:r>
      <w:r w:rsidR="008354A4" w:rsidRPr="00DB0F86">
        <w:t xml:space="preserve"> </w:t>
      </w:r>
      <w:hyperlink r:id="rId8" w:history="1">
        <w:r w:rsidR="008354A4" w:rsidRPr="008F24DA">
          <w:rPr>
            <w:rStyle w:val="Hyperlink"/>
            <w:i/>
          </w:rPr>
          <w:t>C</w:t>
        </w:r>
        <w:r w:rsidR="002F2C8A" w:rsidRPr="008F24DA">
          <w:rPr>
            <w:rStyle w:val="Hyperlink"/>
            <w:i/>
          </w:rPr>
          <w:t>anadian C</w:t>
        </w:r>
        <w:r w:rsidR="008354A4" w:rsidRPr="008F24DA">
          <w:rPr>
            <w:rStyle w:val="Hyperlink"/>
            <w:i/>
          </w:rPr>
          <w:t>harter of Ri</w:t>
        </w:r>
        <w:r w:rsidR="002F2C8A" w:rsidRPr="008F24DA">
          <w:rPr>
            <w:rStyle w:val="Hyperlink"/>
            <w:i/>
          </w:rPr>
          <w:t>ght</w:t>
        </w:r>
        <w:r w:rsidR="008354A4" w:rsidRPr="008F24DA">
          <w:rPr>
            <w:rStyle w:val="Hyperlink"/>
            <w:i/>
          </w:rPr>
          <w:t>s and Freedoms</w:t>
        </w:r>
      </w:hyperlink>
      <w:r w:rsidR="006E71AE">
        <w:t xml:space="preserve"> </w:t>
      </w:r>
      <w:r w:rsidR="003006B6">
        <w:t>protect</w:t>
      </w:r>
      <w:r w:rsidR="00D349EC">
        <w:t>s</w:t>
      </w:r>
      <w:r w:rsidR="003006B6">
        <w:t xml:space="preserve"> the right to informed consent. This right is</w:t>
      </w:r>
      <w:r w:rsidR="008354A4" w:rsidRPr="00DB0F86">
        <w:t xml:space="preserve"> </w:t>
      </w:r>
      <w:r w:rsidR="000940B5">
        <w:t xml:space="preserve">also </w:t>
      </w:r>
      <w:r w:rsidR="002F2C8A" w:rsidRPr="00DB0F86">
        <w:t xml:space="preserve">codified in BC’s </w:t>
      </w:r>
      <w:r w:rsidR="002F2C8A" w:rsidRPr="00DB0F86">
        <w:rPr>
          <w:i/>
        </w:rPr>
        <w:t xml:space="preserve">Health Care (Consent) and Care Facility (Admission) </w:t>
      </w:r>
      <w:r w:rsidR="002F2C8A" w:rsidRPr="000940B5">
        <w:t>Act</w:t>
      </w:r>
      <w:r w:rsidR="000940B5" w:rsidRPr="000940B5">
        <w:t xml:space="preserve"> (the</w:t>
      </w:r>
      <w:r w:rsidR="000940B5">
        <w:rPr>
          <w:i/>
        </w:rPr>
        <w:t xml:space="preserve"> </w:t>
      </w:r>
      <w:hyperlink r:id="rId9" w:history="1">
        <w:r w:rsidR="000940B5" w:rsidRPr="00380182">
          <w:rPr>
            <w:rStyle w:val="Hyperlink"/>
            <w:i/>
          </w:rPr>
          <w:t>Health Care Consent Act</w:t>
        </w:r>
      </w:hyperlink>
      <w:r w:rsidR="000940B5" w:rsidRPr="000940B5">
        <w:t>)</w:t>
      </w:r>
      <w:r w:rsidR="002F2C8A" w:rsidRPr="000940B5">
        <w:t>,</w:t>
      </w:r>
      <w:r w:rsidR="002F2C8A" w:rsidRPr="00DB0F86">
        <w:t xml:space="preserve"> and recognized in international laws</w:t>
      </w:r>
      <w:r w:rsidR="000940B5">
        <w:t>,</w:t>
      </w:r>
      <w:r w:rsidR="002F2C8A" w:rsidRPr="00DB0F86">
        <w:t xml:space="preserve"> such as the United Nations </w:t>
      </w:r>
      <w:hyperlink r:id="rId10" w:history="1">
        <w:r w:rsidR="002F2C8A" w:rsidRPr="008F24DA">
          <w:rPr>
            <w:rStyle w:val="Hyperlink"/>
            <w:i/>
          </w:rPr>
          <w:t>Convention on the Rights of Persons with Disabilities</w:t>
        </w:r>
      </w:hyperlink>
      <w:r w:rsidR="002F2C8A" w:rsidRPr="00DB0F86">
        <w:t xml:space="preserve">. </w:t>
      </w:r>
    </w:p>
    <w:p w14:paraId="2E578D5D" w14:textId="77777777" w:rsidR="00FB11D1" w:rsidRDefault="00FB11D1"/>
    <w:p w14:paraId="6FD6E360" w14:textId="77777777" w:rsidR="00E44390" w:rsidRDefault="004F1BBB" w:rsidP="006543AD">
      <w:r w:rsidRPr="00DB0F86">
        <w:t xml:space="preserve">Health care providers—defined in </w:t>
      </w:r>
      <w:r w:rsidR="006543AD">
        <w:t xml:space="preserve">BC </w:t>
      </w:r>
      <w:r w:rsidRPr="00DB0F86">
        <w:t xml:space="preserve">legislation to include all health care professionals and social workers—have a corresponding duty to get informed consent before providing treatment, except in certain emergency situations. </w:t>
      </w:r>
      <w:r w:rsidR="006D2885">
        <w:t>Put most simply, this means that physicians recommend treatment, but they don't make treatment decisions</w:t>
      </w:r>
      <w:r w:rsidR="006543AD">
        <w:t xml:space="preserve">. </w:t>
      </w:r>
    </w:p>
    <w:p w14:paraId="21DDDBBA" w14:textId="77777777" w:rsidR="00E44390" w:rsidRDefault="00E44390" w:rsidP="006543AD"/>
    <w:p w14:paraId="5743402B" w14:textId="77777777" w:rsidR="006543AD" w:rsidRDefault="006543AD" w:rsidP="006543AD">
      <w:r>
        <w:t xml:space="preserve">When a patient clearly understands treatment options and risks, and there is plenty of time for discussion and consultation with </w:t>
      </w:r>
      <w:r w:rsidR="008F24DA">
        <w:t>the health care team</w:t>
      </w:r>
      <w:r>
        <w:t xml:space="preserve"> and family, meeting the </w:t>
      </w:r>
      <w:r w:rsidR="008F24DA">
        <w:t xml:space="preserve">informed consent </w:t>
      </w:r>
      <w:r>
        <w:t>requirements may be straightforward. But what about</w:t>
      </w:r>
      <w:r w:rsidR="00B30E6A">
        <w:t xml:space="preserve"> decision-making involving</w:t>
      </w:r>
      <w:r>
        <w:t>:</w:t>
      </w:r>
    </w:p>
    <w:p w14:paraId="4A01840B" w14:textId="77777777" w:rsidR="006543AD" w:rsidRDefault="006543AD" w:rsidP="006543AD"/>
    <w:p w14:paraId="37336C58" w14:textId="77777777" w:rsidR="006543AD" w:rsidRDefault="006543AD" w:rsidP="006543AD">
      <w:pPr>
        <w:pStyle w:val="ListParagraph"/>
        <w:numPr>
          <w:ilvl w:val="0"/>
          <w:numId w:val="1"/>
        </w:numPr>
      </w:pPr>
      <w:r>
        <w:t xml:space="preserve">Older people with dementia who do not seem to have capacity? </w:t>
      </w:r>
    </w:p>
    <w:p w14:paraId="4AD03759" w14:textId="77777777" w:rsidR="006543AD" w:rsidRDefault="006543AD" w:rsidP="006543AD">
      <w:pPr>
        <w:pStyle w:val="ListParagraph"/>
        <w:numPr>
          <w:ilvl w:val="0"/>
          <w:numId w:val="1"/>
        </w:numPr>
      </w:pPr>
      <w:r>
        <w:t xml:space="preserve">Patients with disabilities that impact communication and understanding? </w:t>
      </w:r>
    </w:p>
    <w:p w14:paraId="30E820D5" w14:textId="77777777" w:rsidR="006543AD" w:rsidRDefault="006543AD" w:rsidP="006543AD">
      <w:pPr>
        <w:pStyle w:val="ListParagraph"/>
        <w:numPr>
          <w:ilvl w:val="0"/>
          <w:numId w:val="1"/>
        </w:numPr>
      </w:pPr>
      <w:r>
        <w:t xml:space="preserve">Circumstances where family members </w:t>
      </w:r>
      <w:r w:rsidR="008F24DA">
        <w:t>disagree</w:t>
      </w:r>
      <w:r>
        <w:t xml:space="preserve"> about health care treatment decisions?</w:t>
      </w:r>
    </w:p>
    <w:p w14:paraId="54405A81" w14:textId="77777777" w:rsidR="006543AD" w:rsidRDefault="006543AD" w:rsidP="006543AD">
      <w:pPr>
        <w:pStyle w:val="ListParagraph"/>
        <w:numPr>
          <w:ilvl w:val="0"/>
          <w:numId w:val="1"/>
        </w:numPr>
      </w:pPr>
      <w:r>
        <w:t>People who seem to have no family or close friends to support them or provide substitute consent?</w:t>
      </w:r>
    </w:p>
    <w:p w14:paraId="43DCD982" w14:textId="77777777" w:rsidR="006543AD" w:rsidRDefault="006543AD" w:rsidP="006543AD">
      <w:pPr>
        <w:pStyle w:val="ListParagraph"/>
      </w:pPr>
    </w:p>
    <w:p w14:paraId="0A91377B" w14:textId="77777777" w:rsidR="00704314" w:rsidRDefault="00250E74">
      <w:r>
        <w:t>Add to th</w:t>
      </w:r>
      <w:r w:rsidR="00704314">
        <w:t>is mix</w:t>
      </w:r>
      <w:r w:rsidR="00B1236F">
        <w:t xml:space="preserve"> the challenge of providing </w:t>
      </w:r>
      <w:r w:rsidR="008F24DA">
        <w:t xml:space="preserve">health </w:t>
      </w:r>
      <w:r w:rsidR="00B1236F">
        <w:t>care in the context of pandemic policies that limit visitors and patient accompaniment</w:t>
      </w:r>
      <w:r w:rsidR="008F24DA">
        <w:t xml:space="preserve">, and we can see that </w:t>
      </w:r>
      <w:r w:rsidR="00E44390">
        <w:t xml:space="preserve">in practice </w:t>
      </w:r>
      <w:r w:rsidR="008F24DA">
        <w:t>getting informed consent can be challenging.</w:t>
      </w:r>
      <w:r w:rsidR="00B1236F">
        <w:t xml:space="preserve"> </w:t>
      </w:r>
    </w:p>
    <w:p w14:paraId="000A28B4" w14:textId="77777777" w:rsidR="00704314" w:rsidRDefault="00704314"/>
    <w:p w14:paraId="20C82BA7" w14:textId="77777777" w:rsidR="001A4220" w:rsidRPr="00B1236F" w:rsidRDefault="00F166E6">
      <w:r w:rsidRPr="00DB0F86">
        <w:t>Health care workers are</w:t>
      </w:r>
      <w:r>
        <w:t xml:space="preserve"> powerful</w:t>
      </w:r>
      <w:r w:rsidRPr="00DB0F86">
        <w:t xml:space="preserve"> </w:t>
      </w:r>
      <w:proofErr w:type="gramStart"/>
      <w:r w:rsidRPr="00DB0F86">
        <w:t>gate-keepers</w:t>
      </w:r>
      <w:proofErr w:type="gramEnd"/>
      <w:r w:rsidRPr="00DB0F86">
        <w:t xml:space="preserve"> of </w:t>
      </w:r>
      <w:r>
        <w:t xml:space="preserve">consent </w:t>
      </w:r>
      <w:r w:rsidRPr="00DB0F86">
        <w:t>rights</w:t>
      </w:r>
      <w:r>
        <w:t>, and p</w:t>
      </w:r>
      <w:r w:rsidR="006543AD">
        <w:t xml:space="preserve">roperly applying health care consent rights requires an understanding of </w:t>
      </w:r>
      <w:r w:rsidR="00704314">
        <w:t xml:space="preserve">the </w:t>
      </w:r>
      <w:r w:rsidR="006543AD">
        <w:t xml:space="preserve">details of </w:t>
      </w:r>
      <w:r w:rsidR="008365D5">
        <w:t xml:space="preserve">BC laws. In the rest of this article I will cover </w:t>
      </w:r>
      <w:r>
        <w:t>critical</w:t>
      </w:r>
      <w:r w:rsidR="00250E74">
        <w:t xml:space="preserve"> granular details of health care consent law, </w:t>
      </w:r>
      <w:r w:rsidR="008365D5">
        <w:t>and provide links for additional learning.</w:t>
      </w:r>
    </w:p>
    <w:p w14:paraId="3A3F6A3B" w14:textId="77777777" w:rsidR="00DB0F86" w:rsidRDefault="00DB0F86"/>
    <w:p w14:paraId="2DDB2244" w14:textId="77777777" w:rsidR="00DB0F86" w:rsidRPr="00897901" w:rsidRDefault="000940B5" w:rsidP="000940B5">
      <w:pPr>
        <w:pStyle w:val="ListParagraph"/>
        <w:numPr>
          <w:ilvl w:val="0"/>
          <w:numId w:val="2"/>
        </w:numPr>
        <w:rPr>
          <w:b/>
        </w:rPr>
      </w:pPr>
      <w:r w:rsidRPr="00897901">
        <w:rPr>
          <w:b/>
        </w:rPr>
        <w:t>The Right to Assistance with Communication</w:t>
      </w:r>
    </w:p>
    <w:p w14:paraId="4ABE5375" w14:textId="77777777" w:rsidR="000940B5" w:rsidRDefault="000940B5" w:rsidP="000940B5"/>
    <w:p w14:paraId="029497A9" w14:textId="77777777" w:rsidR="00F630AD" w:rsidRDefault="000940B5" w:rsidP="00F630AD">
      <w:r>
        <w:t xml:space="preserve">People with disabilities have a right to assistance with communication. </w:t>
      </w:r>
      <w:r w:rsidR="00250E74">
        <w:t xml:space="preserve">In BC </w:t>
      </w:r>
      <w:proofErr w:type="gramStart"/>
      <w:r w:rsidR="00250E74">
        <w:t>this</w:t>
      </w:r>
      <w:r>
        <w:t xml:space="preserve"> right is supported by </w:t>
      </w:r>
      <w:r w:rsidR="00250E74">
        <w:t>the</w:t>
      </w:r>
      <w:r w:rsidR="0095545C">
        <w:t xml:space="preserve"> </w:t>
      </w:r>
      <w:hyperlink r:id="rId11" w:history="1">
        <w:r w:rsidR="0095545C" w:rsidRPr="008F24DA">
          <w:rPr>
            <w:rStyle w:val="Hyperlink"/>
            <w:i/>
          </w:rPr>
          <w:t>Human Rights Code</w:t>
        </w:r>
      </w:hyperlink>
      <w:r w:rsidR="00250E74">
        <w:t xml:space="preserve"> and the </w:t>
      </w:r>
      <w:r w:rsidR="00250E74" w:rsidRPr="0095545C">
        <w:rPr>
          <w:i/>
        </w:rPr>
        <w:t>Health Care Consent Act</w:t>
      </w:r>
      <w:proofErr w:type="gramEnd"/>
      <w:r w:rsidR="00250E74" w:rsidRPr="00250E74">
        <w:t xml:space="preserve">. </w:t>
      </w:r>
      <w:r w:rsidR="00250E74">
        <w:t xml:space="preserve">The </w:t>
      </w:r>
      <w:r w:rsidR="00250E74" w:rsidRPr="00250E74">
        <w:rPr>
          <w:i/>
        </w:rPr>
        <w:t>Human Rights Code</w:t>
      </w:r>
      <w:r w:rsidR="0095545C">
        <w:t xml:space="preserve"> </w:t>
      </w:r>
      <w:r>
        <w:t>prohibit</w:t>
      </w:r>
      <w:r w:rsidR="00250E74">
        <w:t>s</w:t>
      </w:r>
      <w:r>
        <w:t xml:space="preserve"> discrimination against people with disabilities</w:t>
      </w:r>
      <w:r w:rsidR="00380182">
        <w:t xml:space="preserve"> and requires a</w:t>
      </w:r>
      <w:r>
        <w:t xml:space="preserve">ccommodation of </w:t>
      </w:r>
      <w:r w:rsidR="00380182">
        <w:t xml:space="preserve">barriers linked to disability. This means not only building ramps and other mechanisms of physical </w:t>
      </w:r>
      <w:proofErr w:type="gramStart"/>
      <w:r w:rsidR="00380182">
        <w:lastRenderedPageBreak/>
        <w:t>accessibility</w:t>
      </w:r>
      <w:proofErr w:type="gramEnd"/>
      <w:r w:rsidR="00380182">
        <w:t xml:space="preserve"> but also </w:t>
      </w:r>
      <w:r>
        <w:t>providing assistance with communication.</w:t>
      </w:r>
      <w:r w:rsidR="0095545C">
        <w:t xml:space="preserve"> The 1997 Supreme Court of Canada decision in </w:t>
      </w:r>
      <w:hyperlink r:id="rId12" w:history="1">
        <w:r w:rsidR="0095545C" w:rsidRPr="004D5C0D">
          <w:rPr>
            <w:rStyle w:val="Hyperlink"/>
            <w:i/>
          </w:rPr>
          <w:t>Eldridge</w:t>
        </w:r>
        <w:r w:rsidR="0095545C" w:rsidRPr="004D5C0D">
          <w:rPr>
            <w:rStyle w:val="Hyperlink"/>
          </w:rPr>
          <w:t xml:space="preserve"> v </w:t>
        </w:r>
        <w:r w:rsidR="0095545C" w:rsidRPr="004D5C0D">
          <w:rPr>
            <w:rStyle w:val="Hyperlink"/>
            <w:i/>
          </w:rPr>
          <w:t>British Columbia (Attorney General)</w:t>
        </w:r>
      </w:hyperlink>
      <w:r w:rsidR="0095545C">
        <w:t>, [1997] 3 SCR 624, which considered access to sign language interpretation, noted that physicians cannot meet their informed consent duties without “being able to communicate effectively with their patients”, concluding that “effective communication is an indispensable component of the delivery of medical services” (at 70 and 72).</w:t>
      </w:r>
      <w:r w:rsidR="006543AD">
        <w:t xml:space="preserve"> </w:t>
      </w:r>
    </w:p>
    <w:p w14:paraId="198ACDF1" w14:textId="77777777" w:rsidR="00F630AD" w:rsidRDefault="00F630AD" w:rsidP="00F630AD"/>
    <w:p w14:paraId="7D0B5C15" w14:textId="77777777" w:rsidR="006543AD" w:rsidRDefault="00F630AD" w:rsidP="006543AD">
      <w:r>
        <w:t xml:space="preserve">BC’s </w:t>
      </w:r>
      <w:r w:rsidRPr="0095545C">
        <w:rPr>
          <w:i/>
        </w:rPr>
        <w:t>Health Care Consent Act</w:t>
      </w:r>
      <w:r>
        <w:t xml:space="preserve"> (s 8) also imposes an obligation on health care providers to communicate with people </w:t>
      </w:r>
      <w:r w:rsidR="00380182">
        <w:t>“</w:t>
      </w:r>
      <w:r>
        <w:t xml:space="preserve">in a manner </w:t>
      </w:r>
      <w:r w:rsidR="00380182">
        <w:t xml:space="preserve">appropriate to the adult’s </w:t>
      </w:r>
      <w:r>
        <w:t>skills and abilities</w:t>
      </w:r>
      <w:r w:rsidR="00380182">
        <w:t>”</w:t>
      </w:r>
      <w:r>
        <w:t xml:space="preserve">. </w:t>
      </w:r>
      <w:r w:rsidR="006543AD">
        <w:t xml:space="preserve">This language means that health care professionals need to adapt their ways of communicating to suit the needs of a person with disabilities. Arguably, this provision will sometimes require including in the discussion someone who knows the person with a disability well and understands their unique communication methods. Certainly, </w:t>
      </w:r>
      <w:proofErr w:type="gramStart"/>
      <w:r w:rsidR="006543AD">
        <w:t>sometimes skilled</w:t>
      </w:r>
      <w:proofErr w:type="gramEnd"/>
      <w:r w:rsidR="006543AD">
        <w:t xml:space="preserve"> clinicians will be able to adapt their practice in order to communicate effectively with a person who has a disability. But this is not true for all people with disabilities and all health care professionals. Some people with disabilities communicate </w:t>
      </w:r>
      <w:r w:rsidR="008F24DA">
        <w:t>with</w:t>
      </w:r>
      <w:r w:rsidR="006543AD">
        <w:t xml:space="preserve"> subtle and non-verbal strategies, and it may take time to learn how they communicate. Even for people with hearing impairments, not everyone relies on American Sign Language.</w:t>
      </w:r>
    </w:p>
    <w:p w14:paraId="37D8980D" w14:textId="77777777" w:rsidR="0095545C" w:rsidRDefault="0095545C" w:rsidP="0095545C"/>
    <w:p w14:paraId="0B4DFF78" w14:textId="77777777" w:rsidR="006543AD" w:rsidRPr="00897901" w:rsidRDefault="006543AD" w:rsidP="006543AD">
      <w:pPr>
        <w:pStyle w:val="ListParagraph"/>
        <w:numPr>
          <w:ilvl w:val="0"/>
          <w:numId w:val="2"/>
        </w:numPr>
        <w:rPr>
          <w:b/>
        </w:rPr>
      </w:pPr>
      <w:r w:rsidRPr="00897901">
        <w:rPr>
          <w:b/>
        </w:rPr>
        <w:t>The Right to Support with Decision-making</w:t>
      </w:r>
    </w:p>
    <w:p w14:paraId="4A4E62C7" w14:textId="77777777" w:rsidR="006543AD" w:rsidRDefault="006543AD" w:rsidP="006543AD"/>
    <w:p w14:paraId="3C30515F" w14:textId="5843AE09" w:rsidR="00F630AD" w:rsidRDefault="00F630AD" w:rsidP="00F630AD">
      <w:r>
        <w:t xml:space="preserve">Many people with disabilities who cannot make decisions independently can make some or all of their own health care decisions if they have support with decision-making from a person they trust. Other people with disabilities may make better decisions for themselves when they have support. In BC, the </w:t>
      </w:r>
      <w:hyperlink r:id="rId13" w:history="1">
        <w:r w:rsidRPr="00B41294">
          <w:rPr>
            <w:rStyle w:val="Hyperlink"/>
            <w:i/>
          </w:rPr>
          <w:t>Representation Agreement Act</w:t>
        </w:r>
      </w:hyperlink>
      <w:r>
        <w:t xml:space="preserve"> allows people to appoint a supportive decision-maker for health care through a document called a representation agreement.</w:t>
      </w:r>
      <w:r w:rsidR="00380182">
        <w:t xml:space="preserve"> </w:t>
      </w:r>
      <w:r>
        <w:t>(You can also appoint a substitute decision-maker for health care.) Supportive decision-makers “support” a person to:</w:t>
      </w:r>
    </w:p>
    <w:p w14:paraId="24AE84A0" w14:textId="77777777" w:rsidR="00F630AD" w:rsidRDefault="00F630AD" w:rsidP="00F630AD"/>
    <w:p w14:paraId="5622C32B" w14:textId="77777777" w:rsidR="00F630AD" w:rsidRDefault="00F630AD" w:rsidP="00F630AD">
      <w:pPr>
        <w:pStyle w:val="ListParagraph"/>
        <w:numPr>
          <w:ilvl w:val="0"/>
          <w:numId w:val="3"/>
        </w:numPr>
      </w:pPr>
      <w:r>
        <w:t>Understand the issues involved in a decision;</w:t>
      </w:r>
    </w:p>
    <w:p w14:paraId="0EA628AF" w14:textId="77777777" w:rsidR="00F630AD" w:rsidRDefault="00F630AD" w:rsidP="00F630AD">
      <w:pPr>
        <w:pStyle w:val="ListParagraph"/>
        <w:ind w:left="1080"/>
      </w:pPr>
    </w:p>
    <w:p w14:paraId="17736FCF" w14:textId="77777777" w:rsidR="00F630AD" w:rsidRDefault="00F630AD" w:rsidP="00F630AD">
      <w:pPr>
        <w:pStyle w:val="ListParagraph"/>
        <w:numPr>
          <w:ilvl w:val="0"/>
          <w:numId w:val="3"/>
        </w:numPr>
      </w:pPr>
      <w:r>
        <w:t>Understand the consequences of a decision;</w:t>
      </w:r>
    </w:p>
    <w:p w14:paraId="42950E73" w14:textId="77777777" w:rsidR="00F630AD" w:rsidRDefault="00F630AD" w:rsidP="00F630AD">
      <w:pPr>
        <w:pStyle w:val="ListParagraph"/>
        <w:ind w:left="1080"/>
      </w:pPr>
    </w:p>
    <w:p w14:paraId="6B5818BB" w14:textId="77777777" w:rsidR="00F630AD" w:rsidRDefault="00F630AD" w:rsidP="00F630AD">
      <w:pPr>
        <w:pStyle w:val="ListParagraph"/>
        <w:numPr>
          <w:ilvl w:val="0"/>
          <w:numId w:val="3"/>
        </w:numPr>
      </w:pPr>
      <w:r>
        <w:t xml:space="preserve">Access the appropriate assistance or information to help them make a decision; or </w:t>
      </w:r>
    </w:p>
    <w:p w14:paraId="2DB9BEA9" w14:textId="77777777" w:rsidR="00F630AD" w:rsidRDefault="00F630AD" w:rsidP="00F630AD">
      <w:pPr>
        <w:pStyle w:val="ListParagraph"/>
        <w:ind w:left="1080"/>
      </w:pPr>
    </w:p>
    <w:p w14:paraId="49D435A2" w14:textId="77777777" w:rsidR="00F630AD" w:rsidRDefault="00F630AD" w:rsidP="00F630AD">
      <w:pPr>
        <w:pStyle w:val="ListParagraph"/>
        <w:numPr>
          <w:ilvl w:val="0"/>
          <w:numId w:val="3"/>
        </w:numPr>
      </w:pPr>
      <w:r>
        <w:t>Express their views, acting as interpreter where required.</w:t>
      </w:r>
    </w:p>
    <w:p w14:paraId="6D1A5254" w14:textId="77777777" w:rsidR="006543AD" w:rsidRDefault="00F630AD" w:rsidP="006543AD">
      <w:r>
        <w:t xml:space="preserve"> </w:t>
      </w:r>
    </w:p>
    <w:p w14:paraId="25D54F7D" w14:textId="77777777" w:rsidR="00F630AD" w:rsidRDefault="00380182" w:rsidP="006543AD">
      <w:r>
        <w:t>P</w:t>
      </w:r>
      <w:r w:rsidR="00F630AD">
        <w:t>eople with disabilities are entitled to communicate with their supporters when health care decision-making is required. The supportive decision-maker can help them to demonstrate capacity for decision-making, and assist with decision-making.</w:t>
      </w:r>
      <w:r>
        <w:t xml:space="preserve"> </w:t>
      </w:r>
    </w:p>
    <w:p w14:paraId="03572257" w14:textId="77777777" w:rsidR="00F630AD" w:rsidRDefault="00F630AD" w:rsidP="006543AD">
      <w:pPr>
        <w:rPr>
          <w:rFonts w:cstheme="minorHAnsi"/>
        </w:rPr>
      </w:pPr>
    </w:p>
    <w:p w14:paraId="40CD125C" w14:textId="77777777" w:rsidR="006543AD" w:rsidRDefault="00F630AD" w:rsidP="006543AD">
      <w:pPr>
        <w:rPr>
          <w:rFonts w:eastAsia="Times New Roman" w:cstheme="minorHAnsi"/>
        </w:rPr>
      </w:pPr>
      <w:r w:rsidRPr="00164242">
        <w:rPr>
          <w:rFonts w:cstheme="minorHAnsi"/>
        </w:rPr>
        <w:t>Further</w:t>
      </w:r>
      <w:r w:rsidR="00CF51C7">
        <w:rPr>
          <w:rFonts w:cstheme="minorHAnsi"/>
        </w:rPr>
        <w:t xml:space="preserve"> </w:t>
      </w:r>
      <w:r w:rsidR="00CF51C7">
        <w:t xml:space="preserve">the </w:t>
      </w:r>
      <w:r w:rsidR="00CF51C7" w:rsidRPr="0095545C">
        <w:rPr>
          <w:i/>
        </w:rPr>
        <w:t>Health Care Consent Act</w:t>
      </w:r>
      <w:r w:rsidR="00CF51C7">
        <w:t xml:space="preserve"> affirms that</w:t>
      </w:r>
      <w:r w:rsidRPr="00164242">
        <w:rPr>
          <w:rFonts w:cstheme="minorHAnsi"/>
        </w:rPr>
        <w:t xml:space="preserve"> </w:t>
      </w:r>
      <w:r w:rsidRPr="00164242">
        <w:rPr>
          <w:rFonts w:eastAsia="Times New Roman" w:cstheme="minorHAnsi"/>
        </w:rPr>
        <w:t xml:space="preserve">health care providers “may allow the adult’s spouse, or any near relatives or close friends, who accompany the adult to help the adult and offer their assistance to understand or demonstrate an understanding” of the information </w:t>
      </w:r>
      <w:r w:rsidRPr="00164242">
        <w:rPr>
          <w:rFonts w:eastAsia="Times New Roman" w:cstheme="minorHAnsi"/>
        </w:rPr>
        <w:lastRenderedPageBreak/>
        <w:t>relevant to the proposed health care</w:t>
      </w:r>
      <w:r>
        <w:rPr>
          <w:rFonts w:eastAsia="Times New Roman" w:cstheme="minorHAnsi"/>
        </w:rPr>
        <w:t xml:space="preserve"> (s 8(b))</w:t>
      </w:r>
      <w:r w:rsidRPr="00164242">
        <w:rPr>
          <w:rFonts w:eastAsia="Times New Roman" w:cstheme="minorHAnsi"/>
        </w:rPr>
        <w:t>. This language endorses support</w:t>
      </w:r>
      <w:r>
        <w:rPr>
          <w:rFonts w:eastAsia="Times New Roman" w:cstheme="minorHAnsi"/>
        </w:rPr>
        <w:t>ed</w:t>
      </w:r>
      <w:r w:rsidRPr="00164242">
        <w:rPr>
          <w:rFonts w:eastAsia="Times New Roman" w:cstheme="minorHAnsi"/>
        </w:rPr>
        <w:t xml:space="preserve"> decision-making for health care even where a person has not </w:t>
      </w:r>
      <w:r w:rsidR="00CF51C7">
        <w:rPr>
          <w:rFonts w:eastAsia="Times New Roman" w:cstheme="minorHAnsi"/>
        </w:rPr>
        <w:t xml:space="preserve">formally </w:t>
      </w:r>
      <w:r w:rsidRPr="00164242">
        <w:rPr>
          <w:rFonts w:eastAsia="Times New Roman" w:cstheme="minorHAnsi"/>
        </w:rPr>
        <w:t>appointed a representative</w:t>
      </w:r>
      <w:r>
        <w:rPr>
          <w:rFonts w:eastAsia="Times New Roman" w:cstheme="minorHAnsi"/>
        </w:rPr>
        <w:t xml:space="preserve"> through a representation agreement</w:t>
      </w:r>
      <w:r w:rsidRPr="00164242">
        <w:rPr>
          <w:rFonts w:eastAsia="Times New Roman" w:cstheme="minorHAnsi"/>
        </w:rPr>
        <w:t>.</w:t>
      </w:r>
    </w:p>
    <w:p w14:paraId="16463A73" w14:textId="77777777" w:rsidR="00380182" w:rsidRDefault="00380182" w:rsidP="006543AD"/>
    <w:p w14:paraId="1F3D1E41" w14:textId="77777777" w:rsidR="000940B5" w:rsidRPr="00897901" w:rsidRDefault="00D37D87" w:rsidP="00D37D87">
      <w:pPr>
        <w:pStyle w:val="ListParagraph"/>
        <w:numPr>
          <w:ilvl w:val="0"/>
          <w:numId w:val="2"/>
        </w:numPr>
        <w:rPr>
          <w:b/>
        </w:rPr>
      </w:pPr>
      <w:r w:rsidRPr="00897901">
        <w:rPr>
          <w:b/>
        </w:rPr>
        <w:t>The Duty to Consult</w:t>
      </w:r>
    </w:p>
    <w:p w14:paraId="06BE5A3D" w14:textId="77777777" w:rsidR="003C2859" w:rsidRDefault="003C2859" w:rsidP="00D37D87"/>
    <w:p w14:paraId="4F989998" w14:textId="77777777" w:rsidR="00CF51C7" w:rsidRDefault="000D26F4" w:rsidP="00D37D87">
      <w:r>
        <w:t xml:space="preserve">Certainly, some people cannot make their own decisions—even with support. In such instances health care staff must seek consent to treatment from a substitute decision-maker. </w:t>
      </w:r>
      <w:r w:rsidR="00380182">
        <w:t>In BC</w:t>
      </w:r>
      <w:r w:rsidR="008F24DA">
        <w:t>,</w:t>
      </w:r>
      <w:r w:rsidR="00380182">
        <w:t xml:space="preserve"> a substitute health care decision-maker could be a guardian, a representative</w:t>
      </w:r>
      <w:r w:rsidR="008F24DA">
        <w:t>,</w:t>
      </w:r>
      <w:r w:rsidR="00380182">
        <w:t xml:space="preserve"> or a temporary substitute decision-make</w:t>
      </w:r>
      <w:r w:rsidR="008F24DA">
        <w:t xml:space="preserve"> chosen under the </w:t>
      </w:r>
      <w:r w:rsidR="008F24DA" w:rsidRPr="008F24DA">
        <w:rPr>
          <w:i/>
        </w:rPr>
        <w:t>Health Care Consent Act</w:t>
      </w:r>
      <w:r w:rsidR="00FF2CC1">
        <w:t xml:space="preserve">. </w:t>
      </w:r>
    </w:p>
    <w:p w14:paraId="2C494858" w14:textId="77777777" w:rsidR="00CF51C7" w:rsidRDefault="00CF51C7" w:rsidP="00D37D87"/>
    <w:p w14:paraId="12690F92" w14:textId="77777777" w:rsidR="00D37D87" w:rsidRDefault="00D37D87" w:rsidP="00D37D87">
      <w:r>
        <w:t xml:space="preserve">Health care decision-makers cannot make substitute decisions in a vacuum; they have </w:t>
      </w:r>
      <w:r w:rsidR="00A67DD5">
        <w:t xml:space="preserve">legal </w:t>
      </w:r>
      <w:r>
        <w:t xml:space="preserve">obligations to communicate with the person they represent. In </w:t>
      </w:r>
      <w:r w:rsidRPr="00FF2CC1">
        <w:t>BC</w:t>
      </w:r>
      <w:r>
        <w:t>, a temporary substitute decision-maker for health care is required to consult with the adult to the extent possible, consider their wishes, and comply with them if reasonable (s 19(1)).</w:t>
      </w:r>
      <w:r w:rsidR="00FF2CC1">
        <w:t xml:space="preserve"> If a temporary substitute will not fulfil </w:t>
      </w:r>
      <w:r w:rsidR="00A67DD5">
        <w:t>these</w:t>
      </w:r>
      <w:r w:rsidR="00FF2CC1">
        <w:t xml:space="preserve"> duties, then the health care provider cannot accept </w:t>
      </w:r>
      <w:r w:rsidR="00A67DD5">
        <w:t xml:space="preserve">substitute </w:t>
      </w:r>
      <w:r w:rsidR="00FF2CC1">
        <w:t>consent from them</w:t>
      </w:r>
      <w:r w:rsidR="008F24DA">
        <w:t>,</w:t>
      </w:r>
      <w:r w:rsidR="00FF2CC1">
        <w:t xml:space="preserve"> and must choose the next person in the list under s 16</w:t>
      </w:r>
      <w:r w:rsidR="00A67DD5">
        <w:t xml:space="preserve"> of the </w:t>
      </w:r>
      <w:r w:rsidR="00A67DD5" w:rsidRPr="008F24DA">
        <w:rPr>
          <w:i/>
        </w:rPr>
        <w:t>Health Care Consent Act</w:t>
      </w:r>
      <w:r w:rsidR="00FF2CC1">
        <w:t>.</w:t>
      </w:r>
    </w:p>
    <w:p w14:paraId="6386FEF9" w14:textId="77777777" w:rsidR="00D37D87" w:rsidRDefault="00D37D87" w:rsidP="000940B5"/>
    <w:p w14:paraId="4CF0735E" w14:textId="77777777" w:rsidR="005D5065" w:rsidRDefault="005D5065" w:rsidP="00D37D87">
      <w:r>
        <w:t xml:space="preserve">Most of us consult with people we trust in order to make the best decisions we can for ourselves. We talk about our concerns with family and close friends. We seek additional expert opinions. However, for many people with disabilities, the support of trusted allies is not just helpful—it may be integral to exercising legally protected health care decision-making rights. Health care consent rights require health care providers to facilitate access to family, close friends, and other trusted caregivers. </w:t>
      </w:r>
    </w:p>
    <w:p w14:paraId="3F86BFFB" w14:textId="77777777" w:rsidR="005D5065" w:rsidRDefault="005D5065" w:rsidP="00D37D87"/>
    <w:p w14:paraId="2F7FCA10" w14:textId="77777777" w:rsidR="005D5065" w:rsidRDefault="005D5065" w:rsidP="00D37D87">
      <w:r>
        <w:t xml:space="preserve">So what does </w:t>
      </w:r>
      <w:r w:rsidR="00265600">
        <w:t>all this</w:t>
      </w:r>
      <w:r>
        <w:t xml:space="preserve"> mean during this pandemic?</w:t>
      </w:r>
      <w:r w:rsidR="00265600">
        <w:t xml:space="preserve"> At a minimum:</w:t>
      </w:r>
    </w:p>
    <w:p w14:paraId="5477A566" w14:textId="77777777" w:rsidR="00265600" w:rsidRDefault="00265600" w:rsidP="00D37D87"/>
    <w:p w14:paraId="0D110EE0" w14:textId="251C9E0A" w:rsidR="005D5065" w:rsidRDefault="005D5065" w:rsidP="005D5065">
      <w:pPr>
        <w:pStyle w:val="ListParagraph"/>
        <w:numPr>
          <w:ilvl w:val="0"/>
          <w:numId w:val="5"/>
        </w:numPr>
      </w:pPr>
      <w:r>
        <w:t>Staff may need to consider how to engage substitute and supportive decision-maker</w:t>
      </w:r>
      <w:r w:rsidR="00B41294">
        <w:t xml:space="preserve">s </w:t>
      </w:r>
      <w:bookmarkStart w:id="0" w:name="_GoBack"/>
      <w:bookmarkEnd w:id="0"/>
      <w:r>
        <w:t>through technology.</w:t>
      </w:r>
    </w:p>
    <w:p w14:paraId="62747287" w14:textId="77777777" w:rsidR="005D5065" w:rsidRDefault="005D5065" w:rsidP="000D26F4">
      <w:pPr>
        <w:pStyle w:val="ListParagraph"/>
        <w:numPr>
          <w:ilvl w:val="0"/>
          <w:numId w:val="5"/>
        </w:numPr>
      </w:pPr>
      <w:r>
        <w:t>Facilities may need to relax rules around physical distancing to support decisional autonomy.</w:t>
      </w:r>
    </w:p>
    <w:p w14:paraId="285A8600" w14:textId="77777777" w:rsidR="00D37D87" w:rsidRDefault="00D37D87">
      <w:pPr>
        <w:rPr>
          <w:rFonts w:eastAsia="Times New Roman" w:cstheme="minorHAnsi"/>
        </w:rPr>
      </w:pPr>
    </w:p>
    <w:p w14:paraId="33D3897D" w14:textId="77777777" w:rsidR="00D37D87" w:rsidRDefault="005D5065">
      <w:pPr>
        <w:rPr>
          <w:rFonts w:eastAsia="Times New Roman" w:cstheme="minorHAnsi"/>
        </w:rPr>
      </w:pPr>
      <w:r>
        <w:rPr>
          <w:rFonts w:eastAsia="Times New Roman" w:cstheme="minorHAnsi"/>
        </w:rPr>
        <w:t>More learning and reading:</w:t>
      </w:r>
    </w:p>
    <w:p w14:paraId="554E51EE" w14:textId="77777777" w:rsidR="000D26F4" w:rsidRDefault="000D26F4">
      <w:pPr>
        <w:rPr>
          <w:rFonts w:eastAsia="Times New Roman" w:cstheme="minorHAnsi"/>
        </w:rPr>
      </w:pPr>
    </w:p>
    <w:p w14:paraId="38AA0947" w14:textId="5938F657" w:rsidR="005D5065" w:rsidRDefault="005D5065" w:rsidP="000D26F4">
      <w:pPr>
        <w:pStyle w:val="ListParagraph"/>
        <w:numPr>
          <w:ilvl w:val="0"/>
          <w:numId w:val="6"/>
        </w:numPr>
        <w:rPr>
          <w:rFonts w:eastAsia="Times New Roman" w:cstheme="minorHAnsi"/>
        </w:rPr>
      </w:pPr>
      <w:r w:rsidRPr="000D26F4">
        <w:rPr>
          <w:rFonts w:eastAsia="Times New Roman" w:cstheme="minorHAnsi"/>
        </w:rPr>
        <w:t xml:space="preserve">Additional legislation applies to </w:t>
      </w:r>
      <w:hyperlink r:id="rId14" w:history="1">
        <w:r w:rsidRPr="000D26F4">
          <w:rPr>
            <w:rStyle w:val="Hyperlink"/>
            <w:rFonts w:eastAsia="Times New Roman" w:cstheme="minorHAnsi"/>
          </w:rPr>
          <w:t>consent to chemical restraints in long-term care</w:t>
        </w:r>
      </w:hyperlink>
      <w:r w:rsidRPr="000D26F4">
        <w:rPr>
          <w:rFonts w:eastAsia="Times New Roman" w:cstheme="minorHAnsi"/>
        </w:rPr>
        <w:t>.</w:t>
      </w:r>
    </w:p>
    <w:p w14:paraId="6E32BF42" w14:textId="77777777" w:rsidR="000D26F4" w:rsidRPr="000D26F4" w:rsidRDefault="000D26F4" w:rsidP="000D26F4">
      <w:pPr>
        <w:pStyle w:val="ListParagraph"/>
        <w:rPr>
          <w:rFonts w:eastAsia="Times New Roman" w:cstheme="minorHAnsi"/>
        </w:rPr>
      </w:pPr>
    </w:p>
    <w:p w14:paraId="2BE03858" w14:textId="1449E629" w:rsidR="000D26F4" w:rsidRDefault="005D5065" w:rsidP="000D26F4">
      <w:pPr>
        <w:pStyle w:val="ListParagraph"/>
        <w:numPr>
          <w:ilvl w:val="0"/>
          <w:numId w:val="6"/>
        </w:numPr>
        <w:rPr>
          <w:rFonts w:eastAsia="Times New Roman" w:cstheme="minorHAnsi"/>
        </w:rPr>
      </w:pPr>
      <w:r w:rsidRPr="000D26F4">
        <w:rPr>
          <w:rFonts w:eastAsia="Times New Roman" w:cstheme="minorHAnsi"/>
        </w:rPr>
        <w:t xml:space="preserve">Read more about the role of the </w:t>
      </w:r>
      <w:hyperlink r:id="rId15" w:history="1">
        <w:r w:rsidRPr="000D26F4">
          <w:rPr>
            <w:rStyle w:val="Hyperlink"/>
            <w:rFonts w:eastAsia="Times New Roman" w:cstheme="minorHAnsi"/>
          </w:rPr>
          <w:t>Public Guardian and Trustee</w:t>
        </w:r>
      </w:hyperlink>
      <w:r w:rsidRPr="000D26F4">
        <w:rPr>
          <w:rFonts w:eastAsia="Times New Roman" w:cstheme="minorHAnsi"/>
        </w:rPr>
        <w:t xml:space="preserve"> in health care decision making for people who cannot make a health care decision and have no family or friends to assist.</w:t>
      </w:r>
    </w:p>
    <w:p w14:paraId="53DE5B10" w14:textId="77777777" w:rsidR="000D26F4" w:rsidRDefault="000D26F4" w:rsidP="000D26F4">
      <w:pPr>
        <w:pStyle w:val="ListParagraph"/>
        <w:rPr>
          <w:rFonts w:eastAsia="Times New Roman" w:cstheme="minorHAnsi"/>
        </w:rPr>
      </w:pPr>
    </w:p>
    <w:p w14:paraId="14585F83" w14:textId="77777777" w:rsidR="001572BE" w:rsidRPr="00624755" w:rsidRDefault="001572BE">
      <w:pPr>
        <w:rPr>
          <w:rFonts w:eastAsia="Times New Roman" w:cstheme="minorHAnsi"/>
          <w:b/>
        </w:rPr>
      </w:pPr>
      <w:r w:rsidRPr="00624755">
        <w:rPr>
          <w:rFonts w:eastAsia="Times New Roman" w:cstheme="minorHAnsi"/>
          <w:b/>
        </w:rPr>
        <w:t>Plain Language Resources</w:t>
      </w:r>
    </w:p>
    <w:p w14:paraId="1D54F13E" w14:textId="77777777" w:rsidR="001572BE" w:rsidRDefault="001572BE">
      <w:pPr>
        <w:rPr>
          <w:rFonts w:eastAsia="Times New Roman" w:cstheme="minorHAnsi"/>
        </w:rPr>
      </w:pPr>
    </w:p>
    <w:p w14:paraId="5EB7AA65" w14:textId="77777777" w:rsidR="003C2859" w:rsidRPr="000D26F4" w:rsidRDefault="000D26F4">
      <w:pPr>
        <w:rPr>
          <w:rFonts w:eastAsia="Times New Roman" w:cstheme="minorHAnsi"/>
        </w:rPr>
      </w:pPr>
      <w:r>
        <w:rPr>
          <w:rFonts w:eastAsia="Times New Roman" w:cstheme="minorHAnsi"/>
        </w:rPr>
        <w:t xml:space="preserve">This year </w:t>
      </w:r>
      <w:r w:rsidR="00765959">
        <w:rPr>
          <w:rFonts w:eastAsia="Times New Roman" w:cstheme="minorHAnsi"/>
        </w:rPr>
        <w:t>the Canadian Centre for Elder Law</w:t>
      </w:r>
      <w:r>
        <w:rPr>
          <w:rFonts w:eastAsia="Times New Roman" w:cstheme="minorHAnsi"/>
        </w:rPr>
        <w:t xml:space="preserve"> published a series of </w:t>
      </w:r>
      <w:hyperlink r:id="rId16" w:history="1">
        <w:r w:rsidRPr="000B0874">
          <w:rPr>
            <w:rStyle w:val="Hyperlink"/>
            <w:rFonts w:eastAsia="Times New Roman" w:cstheme="minorHAnsi"/>
          </w:rPr>
          <w:t>plain language resources</w:t>
        </w:r>
      </w:hyperlink>
      <w:r>
        <w:rPr>
          <w:rFonts w:eastAsia="Times New Roman" w:cstheme="minorHAnsi"/>
        </w:rPr>
        <w:t xml:space="preserve"> on health care decision-making for people living with dementia and their families, working in </w:t>
      </w:r>
      <w:r>
        <w:rPr>
          <w:rFonts w:eastAsia="Times New Roman" w:cstheme="minorHAnsi"/>
        </w:rPr>
        <w:lastRenderedPageBreak/>
        <w:t xml:space="preserve">collaboration with the Alzheimer Society of B.C. Although designed for people living with dementia, </w:t>
      </w:r>
      <w:r w:rsidR="00765959">
        <w:rPr>
          <w:rFonts w:eastAsia="Times New Roman" w:cstheme="minorHAnsi"/>
        </w:rPr>
        <w:t>these videos and booklets</w:t>
      </w:r>
      <w:r>
        <w:rPr>
          <w:rFonts w:eastAsia="Times New Roman" w:cstheme="minorHAnsi"/>
        </w:rPr>
        <w:t xml:space="preserve"> provide an accurate summary of the law for anyone living in BC. </w:t>
      </w:r>
    </w:p>
    <w:sectPr w:rsidR="003C2859" w:rsidRPr="000D26F4" w:rsidSect="009C53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B25CD" w14:textId="77777777" w:rsidR="00B76BAF" w:rsidRDefault="00B76BAF" w:rsidP="008354A4">
      <w:r>
        <w:separator/>
      </w:r>
    </w:p>
  </w:endnote>
  <w:endnote w:type="continuationSeparator" w:id="0">
    <w:p w14:paraId="1D8B9B30" w14:textId="77777777" w:rsidR="00B76BAF" w:rsidRDefault="00B76BAF" w:rsidP="0083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0BA7C" w14:textId="77777777" w:rsidR="00B76BAF" w:rsidRDefault="00B76BAF" w:rsidP="008354A4">
      <w:r>
        <w:separator/>
      </w:r>
    </w:p>
  </w:footnote>
  <w:footnote w:type="continuationSeparator" w:id="0">
    <w:p w14:paraId="0B423790" w14:textId="77777777" w:rsidR="00B76BAF" w:rsidRDefault="00B76BAF" w:rsidP="008354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0A54"/>
    <w:multiLevelType w:val="hybridMultilevel"/>
    <w:tmpl w:val="DEFE67CC"/>
    <w:lvl w:ilvl="0" w:tplc="1D280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94505"/>
    <w:multiLevelType w:val="hybridMultilevel"/>
    <w:tmpl w:val="248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23A45"/>
    <w:multiLevelType w:val="hybridMultilevel"/>
    <w:tmpl w:val="54D273D6"/>
    <w:lvl w:ilvl="0" w:tplc="1D280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E2916"/>
    <w:multiLevelType w:val="hybridMultilevel"/>
    <w:tmpl w:val="76E243FE"/>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9F6F21"/>
    <w:multiLevelType w:val="hybridMultilevel"/>
    <w:tmpl w:val="2AF69CC4"/>
    <w:lvl w:ilvl="0" w:tplc="1D280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60896"/>
    <w:multiLevelType w:val="hybridMultilevel"/>
    <w:tmpl w:val="2D4E9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A4"/>
    <w:rsid w:val="00020734"/>
    <w:rsid w:val="000940B5"/>
    <w:rsid w:val="000B4ED3"/>
    <w:rsid w:val="000D26F4"/>
    <w:rsid w:val="001572BE"/>
    <w:rsid w:val="001A4220"/>
    <w:rsid w:val="001C1EA3"/>
    <w:rsid w:val="00250E74"/>
    <w:rsid w:val="00265600"/>
    <w:rsid w:val="002F2C8A"/>
    <w:rsid w:val="003006B6"/>
    <w:rsid w:val="00380182"/>
    <w:rsid w:val="003C2859"/>
    <w:rsid w:val="00473A1C"/>
    <w:rsid w:val="00477FA7"/>
    <w:rsid w:val="004D7E7A"/>
    <w:rsid w:val="004F1BBB"/>
    <w:rsid w:val="00584E75"/>
    <w:rsid w:val="005D5065"/>
    <w:rsid w:val="00624755"/>
    <w:rsid w:val="006543AD"/>
    <w:rsid w:val="0068026E"/>
    <w:rsid w:val="006D2885"/>
    <w:rsid w:val="006E71AE"/>
    <w:rsid w:val="00704314"/>
    <w:rsid w:val="00733B0D"/>
    <w:rsid w:val="00765959"/>
    <w:rsid w:val="008354A4"/>
    <w:rsid w:val="008365D5"/>
    <w:rsid w:val="00897901"/>
    <w:rsid w:val="008F24DA"/>
    <w:rsid w:val="0095545C"/>
    <w:rsid w:val="009C5361"/>
    <w:rsid w:val="00A04A95"/>
    <w:rsid w:val="00A67DD5"/>
    <w:rsid w:val="00AD4ACF"/>
    <w:rsid w:val="00B1236F"/>
    <w:rsid w:val="00B30E6A"/>
    <w:rsid w:val="00B41294"/>
    <w:rsid w:val="00B76BAF"/>
    <w:rsid w:val="00C82D2B"/>
    <w:rsid w:val="00CF51C7"/>
    <w:rsid w:val="00D26573"/>
    <w:rsid w:val="00D349EC"/>
    <w:rsid w:val="00D37D87"/>
    <w:rsid w:val="00DB0F86"/>
    <w:rsid w:val="00E44390"/>
    <w:rsid w:val="00F166E6"/>
    <w:rsid w:val="00F630AD"/>
    <w:rsid w:val="00FB11D1"/>
    <w:rsid w:val="00FF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7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A4"/>
    <w:pPr>
      <w:tabs>
        <w:tab w:val="center" w:pos="4680"/>
        <w:tab w:val="right" w:pos="9360"/>
      </w:tabs>
    </w:pPr>
  </w:style>
  <w:style w:type="character" w:customStyle="1" w:styleId="HeaderChar">
    <w:name w:val="Header Char"/>
    <w:basedOn w:val="DefaultParagraphFont"/>
    <w:link w:val="Header"/>
    <w:uiPriority w:val="99"/>
    <w:rsid w:val="008354A4"/>
  </w:style>
  <w:style w:type="paragraph" w:styleId="Footer">
    <w:name w:val="footer"/>
    <w:basedOn w:val="Normal"/>
    <w:link w:val="FooterChar"/>
    <w:uiPriority w:val="99"/>
    <w:unhideWhenUsed/>
    <w:rsid w:val="008354A4"/>
    <w:pPr>
      <w:tabs>
        <w:tab w:val="center" w:pos="4680"/>
        <w:tab w:val="right" w:pos="9360"/>
      </w:tabs>
    </w:pPr>
  </w:style>
  <w:style w:type="character" w:customStyle="1" w:styleId="FooterChar">
    <w:name w:val="Footer Char"/>
    <w:basedOn w:val="DefaultParagraphFont"/>
    <w:link w:val="Footer"/>
    <w:uiPriority w:val="99"/>
    <w:rsid w:val="008354A4"/>
  </w:style>
  <w:style w:type="paragraph" w:styleId="ListParagraph">
    <w:name w:val="List Paragraph"/>
    <w:basedOn w:val="Normal"/>
    <w:uiPriority w:val="34"/>
    <w:qFormat/>
    <w:rsid w:val="00473A1C"/>
    <w:pPr>
      <w:ind w:left="720"/>
      <w:contextualSpacing/>
    </w:pPr>
  </w:style>
  <w:style w:type="character" w:styleId="Hyperlink">
    <w:name w:val="Hyperlink"/>
    <w:basedOn w:val="DefaultParagraphFont"/>
    <w:uiPriority w:val="99"/>
    <w:unhideWhenUsed/>
    <w:rsid w:val="0095545C"/>
    <w:rPr>
      <w:color w:val="0563C1" w:themeColor="hyperlink"/>
      <w:u w:val="single"/>
    </w:rPr>
  </w:style>
  <w:style w:type="character" w:customStyle="1" w:styleId="UnresolvedMention">
    <w:name w:val="Unresolved Mention"/>
    <w:basedOn w:val="DefaultParagraphFont"/>
    <w:uiPriority w:val="99"/>
    <w:semiHidden/>
    <w:unhideWhenUsed/>
    <w:rsid w:val="00380182"/>
    <w:rPr>
      <w:color w:val="605E5C"/>
      <w:shd w:val="clear" w:color="auto" w:fill="E1DFDD"/>
    </w:rPr>
  </w:style>
  <w:style w:type="character" w:styleId="FollowedHyperlink">
    <w:name w:val="FollowedHyperlink"/>
    <w:basedOn w:val="DefaultParagraphFont"/>
    <w:uiPriority w:val="99"/>
    <w:semiHidden/>
    <w:unhideWhenUsed/>
    <w:rsid w:val="0062475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A4"/>
    <w:pPr>
      <w:tabs>
        <w:tab w:val="center" w:pos="4680"/>
        <w:tab w:val="right" w:pos="9360"/>
      </w:tabs>
    </w:pPr>
  </w:style>
  <w:style w:type="character" w:customStyle="1" w:styleId="HeaderChar">
    <w:name w:val="Header Char"/>
    <w:basedOn w:val="DefaultParagraphFont"/>
    <w:link w:val="Header"/>
    <w:uiPriority w:val="99"/>
    <w:rsid w:val="008354A4"/>
  </w:style>
  <w:style w:type="paragraph" w:styleId="Footer">
    <w:name w:val="footer"/>
    <w:basedOn w:val="Normal"/>
    <w:link w:val="FooterChar"/>
    <w:uiPriority w:val="99"/>
    <w:unhideWhenUsed/>
    <w:rsid w:val="008354A4"/>
    <w:pPr>
      <w:tabs>
        <w:tab w:val="center" w:pos="4680"/>
        <w:tab w:val="right" w:pos="9360"/>
      </w:tabs>
    </w:pPr>
  </w:style>
  <w:style w:type="character" w:customStyle="1" w:styleId="FooterChar">
    <w:name w:val="Footer Char"/>
    <w:basedOn w:val="DefaultParagraphFont"/>
    <w:link w:val="Footer"/>
    <w:uiPriority w:val="99"/>
    <w:rsid w:val="008354A4"/>
  </w:style>
  <w:style w:type="paragraph" w:styleId="ListParagraph">
    <w:name w:val="List Paragraph"/>
    <w:basedOn w:val="Normal"/>
    <w:uiPriority w:val="34"/>
    <w:qFormat/>
    <w:rsid w:val="00473A1C"/>
    <w:pPr>
      <w:ind w:left="720"/>
      <w:contextualSpacing/>
    </w:pPr>
  </w:style>
  <w:style w:type="character" w:styleId="Hyperlink">
    <w:name w:val="Hyperlink"/>
    <w:basedOn w:val="DefaultParagraphFont"/>
    <w:uiPriority w:val="99"/>
    <w:unhideWhenUsed/>
    <w:rsid w:val="0095545C"/>
    <w:rPr>
      <w:color w:val="0563C1" w:themeColor="hyperlink"/>
      <w:u w:val="single"/>
    </w:rPr>
  </w:style>
  <w:style w:type="character" w:customStyle="1" w:styleId="UnresolvedMention">
    <w:name w:val="Unresolved Mention"/>
    <w:basedOn w:val="DefaultParagraphFont"/>
    <w:uiPriority w:val="99"/>
    <w:semiHidden/>
    <w:unhideWhenUsed/>
    <w:rsid w:val="00380182"/>
    <w:rPr>
      <w:color w:val="605E5C"/>
      <w:shd w:val="clear" w:color="auto" w:fill="E1DFDD"/>
    </w:rPr>
  </w:style>
  <w:style w:type="character" w:styleId="FollowedHyperlink">
    <w:name w:val="FollowedHyperlink"/>
    <w:basedOn w:val="DefaultParagraphFont"/>
    <w:uiPriority w:val="99"/>
    <w:semiHidden/>
    <w:unhideWhenUsed/>
    <w:rsid w:val="00624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nlii.org/en/bc/laws/stat/rsbc-1996-c-210/latest/rsbc-1996-c-210.html" TargetMode="External"/><Relationship Id="rId12" Type="http://schemas.openxmlformats.org/officeDocument/2006/relationships/hyperlink" Target="file:///C:\Users\maryl\AppData\Local\Microsoft\Windows\INetCache\Content.Outlook\TFQW3LNI\British%20Columbia%20(Attorney%20General),%20%5b1997%5d%203%20SCR%20624,%20at%2070%20and%2072" TargetMode="External"/><Relationship Id="rId13" Type="http://schemas.openxmlformats.org/officeDocument/2006/relationships/hyperlink" Target="http://canlii.ca/t/84bw" TargetMode="External"/><Relationship Id="rId14" Type="http://schemas.openxmlformats.org/officeDocument/2006/relationships/hyperlink" Target="https://www.bcli.org/consent-to-chemical-restraints-in-long-term-care" TargetMode="External"/><Relationship Id="rId15" Type="http://schemas.openxmlformats.org/officeDocument/2006/relationships/hyperlink" Target="https://www.trustee.bc.ca/Documents/adult-guardianship/Consent%20to%20Health%20Care.pdf" TargetMode="External"/><Relationship Id="rId16" Type="http://schemas.openxmlformats.org/officeDocument/2006/relationships/hyperlink" Target="https://www.bcli.org/project/health-care-decision-making-legal-rights-of-people-living-with-dementi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nlii.ca/t/8q7l" TargetMode="External"/><Relationship Id="rId9" Type="http://schemas.openxmlformats.org/officeDocument/2006/relationships/hyperlink" Target="https://www.canlii.org/en/bc/laws/stat/rsbc-1996-c-181/latest/rsbc-1996-c-181.html" TargetMode="External"/><Relationship Id="rId10"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James</dc:creator>
  <cp:lastModifiedBy>Trudy</cp:lastModifiedBy>
  <cp:revision>2</cp:revision>
  <dcterms:created xsi:type="dcterms:W3CDTF">2020-06-11T23:22:00Z</dcterms:created>
  <dcterms:modified xsi:type="dcterms:W3CDTF">2020-06-11T23:22:00Z</dcterms:modified>
</cp:coreProperties>
</file>